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80B2" w14:textId="01508C03" w:rsidR="00161ADD" w:rsidRPr="0088160B" w:rsidRDefault="00161ADD" w:rsidP="00161ADD">
      <w:pPr>
        <w:tabs>
          <w:tab w:val="num" w:pos="720"/>
        </w:tabs>
        <w:spacing w:after="0" w:line="240" w:lineRule="auto"/>
        <w:rPr>
          <w:b/>
          <w:bCs/>
          <w:sz w:val="36"/>
          <w:szCs w:val="36"/>
        </w:rPr>
      </w:pPr>
      <w:r w:rsidRPr="0088160B">
        <w:rPr>
          <w:b/>
          <w:bCs/>
          <w:sz w:val="36"/>
          <w:szCs w:val="36"/>
        </w:rPr>
        <w:t>EDTA clump passaging of iPSCs</w:t>
      </w:r>
    </w:p>
    <w:p w14:paraId="4B5FD272" w14:textId="77777777" w:rsidR="00161ADD" w:rsidRPr="0088160B" w:rsidRDefault="00161ADD" w:rsidP="00161ADD">
      <w:pPr>
        <w:tabs>
          <w:tab w:val="num" w:pos="720"/>
        </w:tabs>
        <w:spacing w:after="0" w:line="240" w:lineRule="auto"/>
        <w:ind w:left="720" w:hanging="360"/>
      </w:pPr>
    </w:p>
    <w:p w14:paraId="6C2FE297" w14:textId="6B7D5454" w:rsidR="00161ADD" w:rsidRPr="0088160B" w:rsidRDefault="00161ADD" w:rsidP="00161ADD">
      <w:pPr>
        <w:spacing w:after="0" w:line="240" w:lineRule="auto"/>
        <w:rPr>
          <w:rFonts w:asciiTheme="majorHAnsi" w:eastAsia="Times New Roman" w:hAnsiTheme="majorHAnsi" w:cs="Times New Roman"/>
          <w:kern w:val="0"/>
          <w:sz w:val="36"/>
          <w:szCs w:val="36"/>
          <w14:ligatures w14:val="none"/>
        </w:rPr>
      </w:pPr>
      <w:r w:rsidRPr="0088160B">
        <w:rPr>
          <w:rFonts w:asciiTheme="majorHAnsi" w:eastAsia="Times New Roman" w:hAnsiTheme="majorHAnsi" w:cs="Times New Roman"/>
          <w:kern w:val="0"/>
          <w:sz w:val="36"/>
          <w:szCs w:val="36"/>
          <w14:ligatures w14:val="none"/>
        </w:rPr>
        <w:t>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298"/>
        <w:gridCol w:w="2917"/>
      </w:tblGrid>
      <w:tr w:rsidR="0088160B" w:rsidRPr="0088160B" w14:paraId="706852C6" w14:textId="3DD3548F" w:rsidTr="00161ADD"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98254" w14:textId="482D1AE8" w:rsidR="00161ADD" w:rsidRPr="0088160B" w:rsidRDefault="00161ADD" w:rsidP="00161AD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Item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BF30" w14:textId="1954F28A" w:rsidR="00161ADD" w:rsidRPr="0088160B" w:rsidRDefault="00161ADD" w:rsidP="00161AD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Cat#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FB95A" w14:textId="41544452" w:rsidR="00161ADD" w:rsidRPr="0088160B" w:rsidRDefault="00161ADD" w:rsidP="00161AD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Manufacturer</w:t>
            </w:r>
          </w:p>
        </w:tc>
      </w:tr>
      <w:tr w:rsidR="0088160B" w:rsidRPr="0088160B" w14:paraId="1C7FC085" w14:textId="4656B5DE" w:rsidTr="00161ADD">
        <w:trPr>
          <w:trHeight w:val="422"/>
        </w:trPr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C7AED" w14:textId="766F8601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proofErr w:type="spellStart"/>
            <w:r w:rsidRPr="0088160B">
              <w:t>UltraPure</w:t>
            </w:r>
            <w:proofErr w:type="spellEnd"/>
            <w:r w:rsidRPr="0088160B">
              <w:t>™ 0.5M EDTA, pH 8.0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4BFD2" w14:textId="3F4A5C26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kern w:val="0"/>
                <w14:ligatures w14:val="none"/>
              </w:rPr>
              <w:t>15575020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BEF60" w14:textId="5283FFA2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kern w:val="0"/>
                <w14:ligatures w14:val="none"/>
              </w:rPr>
              <w:t>Invitrogen</w:t>
            </w:r>
          </w:p>
        </w:tc>
      </w:tr>
      <w:tr w:rsidR="0088160B" w:rsidRPr="0088160B" w14:paraId="75B02C23" w14:textId="1E6AF4AB" w:rsidTr="00161ADD">
        <w:trPr>
          <w:trHeight w:val="459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6C097100" w14:textId="4CB4E688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88160B">
              <w:t>DPBS, no calcium, no magnesium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141002A" w14:textId="3F5ED798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kern w:val="0"/>
                <w14:ligatures w14:val="none"/>
              </w:rPr>
              <w:t>14190235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838FFD8" w14:textId="207BB885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kern w:val="0"/>
                <w14:ligatures w14:val="none"/>
              </w:rPr>
              <w:t>Gibco</w:t>
            </w:r>
          </w:p>
        </w:tc>
      </w:tr>
      <w:tr w:rsidR="0088160B" w:rsidRPr="0088160B" w14:paraId="3539F027" w14:textId="0DBBAC08" w:rsidTr="00161ADD">
        <w:trPr>
          <w:trHeight w:val="450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368F9" w14:textId="072C93D2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kern w:val="0"/>
                <w14:ligatures w14:val="none"/>
              </w:rPr>
              <w:t>Plate</w:t>
            </w:r>
            <w:r w:rsidR="0088160B">
              <w:rPr>
                <w:rFonts w:eastAsia="Times New Roman" w:cs="Times New Roman"/>
                <w:kern w:val="0"/>
                <w14:ligatures w14:val="none"/>
              </w:rPr>
              <w:t>/flask</w:t>
            </w:r>
            <w:r w:rsidRPr="0088160B">
              <w:rPr>
                <w:rFonts w:eastAsia="Times New Roman" w:cs="Times New Roman"/>
                <w:kern w:val="0"/>
                <w14:ligatures w14:val="none"/>
              </w:rPr>
              <w:t xml:space="preserve"> coated with preferred adherence matrix (e.g. Matrigel or </w:t>
            </w:r>
            <w:proofErr w:type="spellStart"/>
            <w:r w:rsidRPr="0088160B">
              <w:rPr>
                <w:rFonts w:eastAsia="Times New Roman" w:cs="Times New Roman"/>
                <w:kern w:val="0"/>
                <w14:ligatures w14:val="none"/>
              </w:rPr>
              <w:t>Geltrex</w:t>
            </w:r>
            <w:proofErr w:type="spellEnd"/>
            <w:r w:rsidRPr="0088160B">
              <w:rPr>
                <w:rFonts w:eastAsia="Times New Roman" w:cs="Times New Roman"/>
                <w:kern w:val="0"/>
                <w14:ligatures w14:val="none"/>
              </w:rPr>
              <w:t>)</w:t>
            </w:r>
          </w:p>
        </w:tc>
      </w:tr>
      <w:tr w:rsidR="00161ADD" w:rsidRPr="0088160B" w14:paraId="08EBAACD" w14:textId="77777777" w:rsidTr="00161ADD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B1544" w14:textId="54041D77" w:rsidR="00161ADD" w:rsidRPr="0088160B" w:rsidRDefault="00161ADD" w:rsidP="00161ADD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88160B">
              <w:rPr>
                <w:rFonts w:eastAsia="Times New Roman" w:cs="Times New Roman"/>
                <w:kern w:val="0"/>
                <w14:ligatures w14:val="none"/>
              </w:rPr>
              <w:t xml:space="preserve">Warm iPSC media (e.g. </w:t>
            </w:r>
            <w:proofErr w:type="spellStart"/>
            <w:r w:rsidRPr="0088160B">
              <w:rPr>
                <w:rFonts w:eastAsia="Times New Roman" w:cs="Times New Roman"/>
                <w:kern w:val="0"/>
                <w14:ligatures w14:val="none"/>
              </w:rPr>
              <w:t>mTeSR</w:t>
            </w:r>
            <w:proofErr w:type="spellEnd"/>
            <w:r w:rsidRPr="0088160B">
              <w:rPr>
                <w:rFonts w:eastAsia="Times New Roman" w:cs="Times New Roman"/>
                <w:kern w:val="0"/>
                <w14:ligatures w14:val="none"/>
              </w:rPr>
              <w:t xml:space="preserve"> or E8)</w:t>
            </w:r>
          </w:p>
        </w:tc>
      </w:tr>
    </w:tbl>
    <w:p w14:paraId="2A9C0375" w14:textId="77777777" w:rsidR="00161ADD" w:rsidRPr="0088160B" w:rsidRDefault="00161ADD" w:rsidP="00161ADD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67379E82" w14:textId="2570F4DC" w:rsidR="00161ADD" w:rsidRPr="0088160B" w:rsidRDefault="00161ADD" w:rsidP="00161ADD">
      <w:pPr>
        <w:spacing w:line="240" w:lineRule="auto"/>
        <w:jc w:val="both"/>
        <w:rPr>
          <w:rFonts w:asciiTheme="majorHAnsi" w:eastAsia="Times New Roman" w:hAnsiTheme="majorHAnsi" w:cs="Times New Roman"/>
          <w:kern w:val="0"/>
          <w:sz w:val="36"/>
          <w:szCs w:val="36"/>
          <w14:ligatures w14:val="none"/>
        </w:rPr>
      </w:pPr>
      <w:r w:rsidRPr="0088160B">
        <w:rPr>
          <w:rFonts w:asciiTheme="majorHAnsi" w:eastAsia="Times New Roman" w:hAnsiTheme="majorHAnsi" w:cs="Times New Roman"/>
          <w:kern w:val="0"/>
          <w:sz w:val="36"/>
          <w:szCs w:val="36"/>
          <w14:ligatures w14:val="none"/>
        </w:rPr>
        <w:t>Protocol</w:t>
      </w:r>
    </w:p>
    <w:p w14:paraId="142175F9" w14:textId="740B0E7C" w:rsidR="00161ADD" w:rsidRPr="00161ADD" w:rsidRDefault="00161ADD" w:rsidP="00161ADD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>Prepare 0.5</w:t>
      </w:r>
      <w:r w:rsidRPr="0088160B">
        <w:rPr>
          <w:rFonts w:eastAsia="Times New Roman" w:cs="Times New Roman"/>
          <w:kern w:val="0"/>
          <w14:ligatures w14:val="none"/>
        </w:rPr>
        <w:t xml:space="preserve"> </w:t>
      </w:r>
      <w:r w:rsidRPr="00161ADD">
        <w:rPr>
          <w:rFonts w:eastAsia="Times New Roman" w:cs="Times New Roman"/>
          <w:kern w:val="0"/>
          <w14:ligatures w14:val="none"/>
        </w:rPr>
        <w:t>mM EDTA solution in DPBS (1:1000 dilution from</w:t>
      </w:r>
      <w:r w:rsidRPr="0088160B">
        <w:rPr>
          <w:rFonts w:eastAsia="Times New Roman" w:cs="Times New Roman"/>
          <w:kern w:val="0"/>
          <w14:ligatures w14:val="none"/>
        </w:rPr>
        <w:t xml:space="preserve"> </w:t>
      </w:r>
      <w:r w:rsidRPr="00161ADD">
        <w:rPr>
          <w:rFonts w:eastAsia="Times New Roman" w:cs="Times New Roman"/>
          <w:kern w:val="0"/>
          <w14:ligatures w14:val="none"/>
        </w:rPr>
        <w:t>0.5M EDTA stock, i.e. 50 µl in 50 ml DPBS).</w:t>
      </w:r>
    </w:p>
    <w:p w14:paraId="62B79364" w14:textId="763070E3" w:rsidR="00161ADD" w:rsidRPr="00161ADD" w:rsidRDefault="00161ADD" w:rsidP="00161ADD">
      <w:pPr>
        <w:spacing w:line="240" w:lineRule="auto"/>
        <w:ind w:left="1080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>Store solution at RT.</w:t>
      </w:r>
    </w:p>
    <w:p w14:paraId="379E5D89" w14:textId="160FCEE6" w:rsidR="00161ADD" w:rsidRPr="00161ADD" w:rsidRDefault="00161ADD" w:rsidP="00161ADD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 xml:space="preserve">Aspirate medium from the well(s) you are splitting and wash </w:t>
      </w:r>
      <w:r w:rsidRPr="0088160B">
        <w:rPr>
          <w:rFonts w:eastAsia="Times New Roman" w:cs="Times New Roman"/>
          <w:kern w:val="0"/>
          <w14:ligatures w14:val="none"/>
        </w:rPr>
        <w:t>well(s)</w:t>
      </w:r>
      <w:r w:rsidRPr="00161ADD">
        <w:rPr>
          <w:rFonts w:eastAsia="Times New Roman" w:cs="Times New Roman"/>
          <w:kern w:val="0"/>
          <w14:ligatures w14:val="none"/>
        </w:rPr>
        <w:t xml:space="preserve"> once in DPBS</w:t>
      </w:r>
      <w:r w:rsidRPr="0088160B">
        <w:rPr>
          <w:rFonts w:eastAsia="Times New Roman" w:cs="Times New Roman"/>
          <w:kern w:val="0"/>
          <w14:ligatures w14:val="none"/>
        </w:rPr>
        <w:t>.</w:t>
      </w:r>
    </w:p>
    <w:p w14:paraId="5177346C" w14:textId="1A4DC887" w:rsidR="00161ADD" w:rsidRPr="00161ADD" w:rsidRDefault="00161ADD" w:rsidP="00161ADD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>Add 1 ml 0.5</w:t>
      </w:r>
      <w:r w:rsidRPr="0088160B">
        <w:rPr>
          <w:rFonts w:eastAsia="Times New Roman" w:cs="Times New Roman"/>
          <w:kern w:val="0"/>
          <w14:ligatures w14:val="none"/>
        </w:rPr>
        <w:t xml:space="preserve"> </w:t>
      </w:r>
      <w:r w:rsidRPr="00161ADD">
        <w:rPr>
          <w:rFonts w:eastAsia="Times New Roman" w:cs="Times New Roman"/>
          <w:kern w:val="0"/>
          <w14:ligatures w14:val="none"/>
        </w:rPr>
        <w:t>mM EDTA solution per well of a 6-well plate. Scale up</w:t>
      </w:r>
      <w:r w:rsidRPr="0088160B">
        <w:rPr>
          <w:rFonts w:eastAsia="Times New Roman" w:cs="Times New Roman"/>
          <w:kern w:val="0"/>
          <w14:ligatures w14:val="none"/>
        </w:rPr>
        <w:t xml:space="preserve"> or </w:t>
      </w:r>
      <w:r w:rsidRPr="00161ADD">
        <w:rPr>
          <w:rFonts w:eastAsia="Times New Roman" w:cs="Times New Roman"/>
          <w:kern w:val="0"/>
          <w14:ligatures w14:val="none"/>
        </w:rPr>
        <w:t xml:space="preserve">down as </w:t>
      </w:r>
      <w:r w:rsidRPr="0088160B">
        <w:rPr>
          <w:rFonts w:eastAsia="Times New Roman" w:cs="Times New Roman"/>
          <w:kern w:val="0"/>
          <w14:ligatures w14:val="none"/>
        </w:rPr>
        <w:t>required</w:t>
      </w:r>
      <w:r w:rsidRPr="00161ADD">
        <w:rPr>
          <w:rFonts w:eastAsia="Times New Roman" w:cs="Times New Roman"/>
          <w:kern w:val="0"/>
          <w14:ligatures w14:val="none"/>
        </w:rPr>
        <w:t xml:space="preserve"> for other plate</w:t>
      </w:r>
      <w:r w:rsidRPr="0088160B">
        <w:rPr>
          <w:rFonts w:eastAsia="Times New Roman" w:cs="Times New Roman"/>
          <w:kern w:val="0"/>
          <w14:ligatures w14:val="none"/>
        </w:rPr>
        <w:t>/flask</w:t>
      </w:r>
      <w:r w:rsidRPr="00161ADD">
        <w:rPr>
          <w:rFonts w:eastAsia="Times New Roman" w:cs="Times New Roman"/>
          <w:kern w:val="0"/>
          <w14:ligatures w14:val="none"/>
        </w:rPr>
        <w:t xml:space="preserve"> formats</w:t>
      </w:r>
      <w:r w:rsidRPr="0088160B">
        <w:rPr>
          <w:rFonts w:eastAsia="Times New Roman" w:cs="Times New Roman"/>
          <w:kern w:val="0"/>
          <w14:ligatures w14:val="none"/>
        </w:rPr>
        <w:t>.</w:t>
      </w:r>
    </w:p>
    <w:p w14:paraId="65230366" w14:textId="542F8A12" w:rsidR="00161ADD" w:rsidRPr="00161ADD" w:rsidRDefault="00161ADD" w:rsidP="00161ADD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:u w:val="single"/>
          <w14:ligatures w14:val="none"/>
        </w:rPr>
        <w:t>Leave the EDTA solution on</w:t>
      </w:r>
      <w:r w:rsidRPr="00161ADD">
        <w:rPr>
          <w:rFonts w:eastAsia="Times New Roman" w:cs="Times New Roman"/>
          <w:kern w:val="0"/>
          <w14:ligatures w14:val="none"/>
        </w:rPr>
        <w:t> and incubat</w:t>
      </w:r>
      <w:r w:rsidRPr="0088160B">
        <w:rPr>
          <w:rFonts w:eastAsia="Times New Roman" w:cs="Times New Roman"/>
          <w:kern w:val="0"/>
          <w14:ligatures w14:val="none"/>
        </w:rPr>
        <w:t>e at 37</w:t>
      </w:r>
      <w:r w:rsidRPr="0088160B">
        <w:rPr>
          <w:rFonts w:eastAsia="Times New Roman" w:cs="Times New Roman"/>
          <w:kern w:val="0"/>
          <w14:ligatures w14:val="none"/>
        </w:rPr>
        <w:sym w:font="Symbol" w:char="F0B0"/>
      </w:r>
      <w:r w:rsidRPr="0088160B">
        <w:rPr>
          <w:rFonts w:eastAsia="Times New Roman" w:cs="Times New Roman"/>
          <w:kern w:val="0"/>
          <w14:ligatures w14:val="none"/>
        </w:rPr>
        <w:t>C</w:t>
      </w:r>
      <w:r w:rsidRPr="00161ADD">
        <w:rPr>
          <w:rFonts w:eastAsia="Times New Roman" w:cs="Times New Roman"/>
          <w:kern w:val="0"/>
          <w14:ligatures w14:val="none"/>
        </w:rPr>
        <w:t xml:space="preserve"> for 5 mins. During the</w:t>
      </w:r>
      <w:r w:rsidR="0088160B">
        <w:rPr>
          <w:rFonts w:eastAsia="Times New Roman" w:cs="Times New Roman"/>
          <w:kern w:val="0"/>
          <w14:ligatures w14:val="none"/>
        </w:rPr>
        <w:t>se</w:t>
      </w:r>
      <w:r w:rsidRPr="00161ADD">
        <w:rPr>
          <w:rFonts w:eastAsia="Times New Roman" w:cs="Times New Roman"/>
          <w:kern w:val="0"/>
          <w14:ligatures w14:val="none"/>
        </w:rPr>
        <w:t xml:space="preserve"> 5 mins, label your new plate</w:t>
      </w:r>
      <w:r w:rsidR="0088160B">
        <w:rPr>
          <w:rFonts w:eastAsia="Times New Roman" w:cs="Times New Roman"/>
          <w:kern w:val="0"/>
          <w14:ligatures w14:val="none"/>
        </w:rPr>
        <w:t>/flask</w:t>
      </w:r>
      <w:r w:rsidRPr="00161ADD">
        <w:rPr>
          <w:rFonts w:eastAsia="Times New Roman" w:cs="Times New Roman"/>
          <w:kern w:val="0"/>
          <w14:ligatures w14:val="none"/>
        </w:rPr>
        <w:t xml:space="preserve"> and add warm media to it.</w:t>
      </w:r>
    </w:p>
    <w:p w14:paraId="0B465D0A" w14:textId="05D337FB" w:rsidR="00161ADD" w:rsidRPr="00161ADD" w:rsidRDefault="00161ADD" w:rsidP="00161ADD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 xml:space="preserve">Optional: </w:t>
      </w:r>
      <w:r w:rsidRPr="0088160B">
        <w:rPr>
          <w:rFonts w:eastAsia="Times New Roman" w:cs="Times New Roman"/>
          <w:kern w:val="0"/>
          <w14:ligatures w14:val="none"/>
        </w:rPr>
        <w:t>After 5 mins, c</w:t>
      </w:r>
      <w:r w:rsidRPr="00161ADD">
        <w:rPr>
          <w:rFonts w:eastAsia="Times New Roman" w:cs="Times New Roman"/>
          <w:kern w:val="0"/>
          <w14:ligatures w14:val="none"/>
        </w:rPr>
        <w:t xml:space="preserve">heck your plate under </w:t>
      </w:r>
      <w:r w:rsidRPr="0088160B">
        <w:rPr>
          <w:rFonts w:eastAsia="Times New Roman" w:cs="Times New Roman"/>
          <w:kern w:val="0"/>
          <w14:ligatures w14:val="none"/>
        </w:rPr>
        <w:t>a brightfield</w:t>
      </w:r>
      <w:r w:rsidRPr="00161ADD">
        <w:rPr>
          <w:rFonts w:eastAsia="Times New Roman" w:cs="Times New Roman"/>
          <w:kern w:val="0"/>
          <w14:ligatures w14:val="none"/>
        </w:rPr>
        <w:t xml:space="preserve"> microscope to see if the cells are ready to detach (increased contrast around the cell perimeter).</w:t>
      </w:r>
    </w:p>
    <w:p w14:paraId="256BFB36" w14:textId="337678E3" w:rsidR="00161ADD" w:rsidRPr="00161ADD" w:rsidRDefault="00161ADD" w:rsidP="00161ADD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 xml:space="preserve">Carefully aspirate the EDTA solution (this will not aspirate </w:t>
      </w:r>
      <w:r w:rsidRPr="0088160B">
        <w:rPr>
          <w:rFonts w:eastAsia="Times New Roman" w:cs="Times New Roman"/>
          <w:kern w:val="0"/>
          <w14:ligatures w14:val="none"/>
        </w:rPr>
        <w:t>living</w:t>
      </w:r>
      <w:r w:rsidRPr="00161ADD">
        <w:rPr>
          <w:rFonts w:eastAsia="Times New Roman" w:cs="Times New Roman"/>
          <w:kern w:val="0"/>
          <w14:ligatures w14:val="none"/>
        </w:rPr>
        <w:t xml:space="preserve"> cells).</w:t>
      </w:r>
    </w:p>
    <w:p w14:paraId="3A911165" w14:textId="4703DA67" w:rsidR="00161ADD" w:rsidRPr="00161ADD" w:rsidRDefault="00161ADD" w:rsidP="00161ADD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>Collect the cells into a P1000 pipette</w:t>
      </w:r>
      <w:r w:rsidRPr="0088160B">
        <w:rPr>
          <w:rFonts w:eastAsia="Times New Roman" w:cs="Times New Roman"/>
          <w:kern w:val="0"/>
          <w14:ligatures w14:val="none"/>
        </w:rPr>
        <w:t xml:space="preserve"> tip</w:t>
      </w:r>
      <w:r w:rsidRPr="00161ADD">
        <w:rPr>
          <w:rFonts w:eastAsia="Times New Roman" w:cs="Times New Roman"/>
          <w:kern w:val="0"/>
          <w14:ligatures w14:val="none"/>
        </w:rPr>
        <w:t xml:space="preserve"> by “shooting” medium once over the well. If you do not collect most cells in one go, you can go over it once more, but </w:t>
      </w:r>
      <w:r w:rsidRPr="0088160B">
        <w:rPr>
          <w:rFonts w:eastAsia="Times New Roman" w:cs="Times New Roman"/>
          <w:kern w:val="0"/>
          <w14:ligatures w14:val="none"/>
        </w:rPr>
        <w:t xml:space="preserve">ideally </w:t>
      </w:r>
      <w:r w:rsidRPr="00161ADD">
        <w:rPr>
          <w:rFonts w:eastAsia="Times New Roman" w:cs="Times New Roman"/>
          <w:kern w:val="0"/>
          <w14:ligatures w14:val="none"/>
        </w:rPr>
        <w:t xml:space="preserve">no more than twice (more will break up the </w:t>
      </w:r>
      <w:r w:rsidRPr="0088160B">
        <w:rPr>
          <w:rFonts w:eastAsia="Times New Roman" w:cs="Times New Roman"/>
          <w:kern w:val="0"/>
          <w14:ligatures w14:val="none"/>
        </w:rPr>
        <w:t>iPSC clusters</w:t>
      </w:r>
      <w:r w:rsidRPr="00161ADD">
        <w:rPr>
          <w:rFonts w:eastAsia="Times New Roman" w:cs="Times New Roman"/>
          <w:kern w:val="0"/>
          <w14:ligatures w14:val="none"/>
        </w:rPr>
        <w:t xml:space="preserve"> too much</w:t>
      </w:r>
      <w:r w:rsidR="0088160B">
        <w:rPr>
          <w:rFonts w:eastAsia="Times New Roman" w:cs="Times New Roman"/>
          <w:kern w:val="0"/>
          <w14:ligatures w14:val="none"/>
        </w:rPr>
        <w:t>, and healthy iPSCs normally readily detach</w:t>
      </w:r>
      <w:r w:rsidRPr="00161ADD">
        <w:rPr>
          <w:rFonts w:eastAsia="Times New Roman" w:cs="Times New Roman"/>
          <w:kern w:val="0"/>
          <w14:ligatures w14:val="none"/>
        </w:rPr>
        <w:t xml:space="preserve">). A good iPSC split ratio for one healthy and confluent well is generally 1:6. If the yield is lower, plate your </w:t>
      </w:r>
      <w:r w:rsidRPr="0088160B">
        <w:rPr>
          <w:rFonts w:eastAsia="Times New Roman" w:cs="Times New Roman"/>
          <w:kern w:val="0"/>
          <w14:ligatures w14:val="none"/>
        </w:rPr>
        <w:t xml:space="preserve">collected </w:t>
      </w:r>
      <w:r w:rsidRPr="00161ADD">
        <w:rPr>
          <w:rFonts w:eastAsia="Times New Roman" w:cs="Times New Roman"/>
          <w:kern w:val="0"/>
          <w14:ligatures w14:val="none"/>
        </w:rPr>
        <w:t>iPSC</w:t>
      </w:r>
      <w:r w:rsidRPr="0088160B">
        <w:rPr>
          <w:rFonts w:eastAsia="Times New Roman" w:cs="Times New Roman"/>
          <w:kern w:val="0"/>
          <w14:ligatures w14:val="none"/>
        </w:rPr>
        <w:t xml:space="preserve"> clusters</w:t>
      </w:r>
      <w:r w:rsidRPr="00161ADD">
        <w:rPr>
          <w:rFonts w:eastAsia="Times New Roman" w:cs="Times New Roman"/>
          <w:kern w:val="0"/>
          <w14:ligatures w14:val="none"/>
        </w:rPr>
        <w:t xml:space="preserve"> into fewer wells.</w:t>
      </w:r>
    </w:p>
    <w:p w14:paraId="6A55342B" w14:textId="7A95090D" w:rsidR="00161ADD" w:rsidRPr="00161ADD" w:rsidRDefault="00161ADD" w:rsidP="00161ADD">
      <w:pPr>
        <w:spacing w:line="240" w:lineRule="auto"/>
        <w:ind w:left="1080"/>
        <w:jc w:val="both"/>
        <w:rPr>
          <w:rFonts w:eastAsia="Times New Roman" w:cs="Times New Roman"/>
          <w:kern w:val="0"/>
          <w14:ligatures w14:val="none"/>
        </w:rPr>
      </w:pPr>
      <w:r w:rsidRPr="00161ADD">
        <w:rPr>
          <w:rFonts w:eastAsia="Times New Roman" w:cs="Times New Roman"/>
          <w:kern w:val="0"/>
          <w14:ligatures w14:val="none"/>
        </w:rPr>
        <w:t>NB</w:t>
      </w:r>
      <w:r w:rsidRPr="0088160B">
        <w:rPr>
          <w:rFonts w:eastAsia="Times New Roman" w:cs="Times New Roman"/>
          <w:kern w:val="0"/>
          <w14:ligatures w14:val="none"/>
        </w:rPr>
        <w:t>:</w:t>
      </w:r>
      <w:r w:rsidRPr="00161ADD">
        <w:rPr>
          <w:rFonts w:eastAsia="Times New Roman" w:cs="Times New Roman"/>
          <w:kern w:val="0"/>
          <w14:ligatures w14:val="none"/>
        </w:rPr>
        <w:t xml:space="preserve"> iPSCs split </w:t>
      </w:r>
      <w:r w:rsidRPr="0088160B">
        <w:rPr>
          <w:rFonts w:eastAsia="Times New Roman" w:cs="Times New Roman"/>
          <w:kern w:val="0"/>
          <w14:ligatures w14:val="none"/>
        </w:rPr>
        <w:t xml:space="preserve">1:6 </w:t>
      </w:r>
      <w:r w:rsidRPr="00161ADD">
        <w:rPr>
          <w:rFonts w:eastAsia="Times New Roman" w:cs="Times New Roman"/>
          <w:kern w:val="0"/>
          <w14:ligatures w14:val="none"/>
        </w:rPr>
        <w:t>with clump passaging (EDTA/</w:t>
      </w:r>
      <w:proofErr w:type="spellStart"/>
      <w:r w:rsidRPr="00161ADD">
        <w:rPr>
          <w:rFonts w:eastAsia="Times New Roman" w:cs="Times New Roman"/>
          <w:kern w:val="0"/>
          <w14:ligatures w14:val="none"/>
        </w:rPr>
        <w:t>ReLeSR</w:t>
      </w:r>
      <w:proofErr w:type="spellEnd"/>
      <w:r w:rsidRPr="00161ADD">
        <w:rPr>
          <w:rFonts w:eastAsia="Times New Roman" w:cs="Times New Roman"/>
          <w:kern w:val="0"/>
          <w14:ligatures w14:val="none"/>
        </w:rPr>
        <w:t>) do not generally need to be fed until 48h after splitting (then every day feeding commences). </w:t>
      </w:r>
      <w:r w:rsidRPr="0088160B">
        <w:rPr>
          <w:rFonts w:eastAsia="Times New Roman" w:cs="Times New Roman"/>
          <w:kern w:val="0"/>
          <w14:ligatures w14:val="none"/>
        </w:rPr>
        <w:t xml:space="preserve">Addition of </w:t>
      </w:r>
      <w:r w:rsidRPr="00161ADD">
        <w:rPr>
          <w:rFonts w:eastAsia="Times New Roman" w:cs="Times New Roman"/>
          <w:kern w:val="0"/>
          <w14:ligatures w14:val="none"/>
        </w:rPr>
        <w:t>R</w:t>
      </w:r>
      <w:r w:rsidRPr="0088160B">
        <w:rPr>
          <w:rFonts w:eastAsia="Times New Roman" w:cs="Times New Roman"/>
          <w:kern w:val="0"/>
          <w14:ligatures w14:val="none"/>
        </w:rPr>
        <w:t>OCK inhibitor is not advised</w:t>
      </w:r>
      <w:r w:rsidRPr="00161ADD">
        <w:rPr>
          <w:rFonts w:eastAsia="Times New Roman" w:cs="Times New Roman"/>
          <w:kern w:val="0"/>
          <w14:ligatures w14:val="none"/>
        </w:rPr>
        <w:t xml:space="preserve"> </w:t>
      </w:r>
      <w:r w:rsidRPr="0088160B">
        <w:rPr>
          <w:rFonts w:eastAsia="Times New Roman" w:cs="Times New Roman"/>
          <w:kern w:val="0"/>
          <w14:ligatures w14:val="none"/>
        </w:rPr>
        <w:t>when performing clump passaging</w:t>
      </w:r>
      <w:r w:rsidRPr="00161ADD">
        <w:rPr>
          <w:rFonts w:eastAsia="Times New Roman" w:cs="Times New Roman"/>
          <w:kern w:val="0"/>
          <w14:ligatures w14:val="none"/>
        </w:rPr>
        <w:t>.</w:t>
      </w:r>
    </w:p>
    <w:p w14:paraId="40F97A0E" w14:textId="77777777" w:rsidR="002A7BB4" w:rsidRDefault="002A7BB4" w:rsidP="00161ADD"/>
    <w:sectPr w:rsidR="002A7B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FA4B" w14:textId="77777777" w:rsidR="000677AC" w:rsidRDefault="000677AC" w:rsidP="000375EC">
      <w:pPr>
        <w:spacing w:after="0" w:line="240" w:lineRule="auto"/>
      </w:pPr>
      <w:r>
        <w:separator/>
      </w:r>
    </w:p>
  </w:endnote>
  <w:endnote w:type="continuationSeparator" w:id="0">
    <w:p w14:paraId="48317719" w14:textId="77777777" w:rsidR="000677AC" w:rsidRDefault="000677AC" w:rsidP="0003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3DE6" w14:textId="02E92868" w:rsidR="000375EC" w:rsidRPr="0003306C" w:rsidRDefault="0003306C">
    <w:pPr>
      <w:pStyle w:val="Footer"/>
      <w:rPr>
        <w:sz w:val="20"/>
        <w:szCs w:val="20"/>
      </w:rPr>
    </w:pPr>
    <w:r w:rsidRPr="0003306C">
      <w:rPr>
        <w:rFonts w:ascii="Times New Roman" w:hAnsi="Times New Roman" w:cs="Times New Roman"/>
        <w:kern w:val="0"/>
        <w:sz w:val="20"/>
        <w:szCs w:val="20"/>
      </w:rPr>
      <w:t xml:space="preserve">Clelland Lab Protocols | </w:t>
    </w:r>
    <w:r w:rsidR="00161ADD">
      <w:rPr>
        <w:rFonts w:ascii="Times New Roman" w:hAnsi="Times New Roman" w:cs="Times New Roman"/>
        <w:kern w:val="0"/>
        <w:sz w:val="20"/>
        <w:szCs w:val="20"/>
      </w:rPr>
      <w:t>EDTA clump passaging of iPSCs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3834" w14:textId="77777777" w:rsidR="000677AC" w:rsidRDefault="000677AC" w:rsidP="000375EC">
      <w:pPr>
        <w:spacing w:after="0" w:line="240" w:lineRule="auto"/>
      </w:pPr>
      <w:r>
        <w:separator/>
      </w:r>
    </w:p>
  </w:footnote>
  <w:footnote w:type="continuationSeparator" w:id="0">
    <w:p w14:paraId="5240BDBA" w14:textId="77777777" w:rsidR="000677AC" w:rsidRDefault="000677AC" w:rsidP="0003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86E6" w14:textId="5B19323F" w:rsidR="00F8010E" w:rsidRDefault="00F8010E" w:rsidP="00F8010E">
    <w:pPr>
      <w:pStyle w:val="BodyText"/>
    </w:pPr>
    <w:r>
      <w:rPr>
        <w:noProof/>
      </w:rPr>
      <w:drawing>
        <wp:anchor distT="0" distB="0" distL="0" distR="0" simplePos="0" relativeHeight="251659264" behindDoc="1" locked="0" layoutInCell="1" allowOverlap="1" wp14:anchorId="70A98103" wp14:editId="7611BD08">
          <wp:simplePos x="0" y="0"/>
          <wp:positionH relativeFrom="page">
            <wp:posOffset>635841</wp:posOffset>
          </wp:positionH>
          <wp:positionV relativeFrom="page">
            <wp:posOffset>257365</wp:posOffset>
          </wp:positionV>
          <wp:extent cx="1413145" cy="640021"/>
          <wp:effectExtent l="0" t="0" r="0" b="0"/>
          <wp:wrapNone/>
          <wp:docPr id="1" name="Image 1" descr="A dna molecule with blue lines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dna molecule with blue lines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3145" cy="640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EF432A" w14:textId="77777777" w:rsidR="000375EC" w:rsidRDefault="00037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57F4"/>
    <w:multiLevelType w:val="multilevel"/>
    <w:tmpl w:val="FCDC2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33DBF"/>
    <w:multiLevelType w:val="multilevel"/>
    <w:tmpl w:val="0EDC7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304BB"/>
    <w:multiLevelType w:val="multilevel"/>
    <w:tmpl w:val="51DC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D3162"/>
    <w:multiLevelType w:val="multilevel"/>
    <w:tmpl w:val="6740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999835">
    <w:abstractNumId w:val="3"/>
  </w:num>
  <w:num w:numId="2" w16cid:durableId="1815486479">
    <w:abstractNumId w:val="2"/>
  </w:num>
  <w:num w:numId="3" w16cid:durableId="1026909687">
    <w:abstractNumId w:val="0"/>
  </w:num>
  <w:num w:numId="4" w16cid:durableId="48990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EC"/>
    <w:rsid w:val="0003306C"/>
    <w:rsid w:val="000375EC"/>
    <w:rsid w:val="000677AC"/>
    <w:rsid w:val="00135CCB"/>
    <w:rsid w:val="00161ADD"/>
    <w:rsid w:val="002A7BB4"/>
    <w:rsid w:val="0088160B"/>
    <w:rsid w:val="00BF5767"/>
    <w:rsid w:val="00CC375B"/>
    <w:rsid w:val="00F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6A2C9"/>
  <w15:chartTrackingRefBased/>
  <w15:docId w15:val="{1ADC17D3-53F0-CC4C-A077-D6EA0BA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5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EC"/>
  </w:style>
  <w:style w:type="paragraph" w:styleId="Footer">
    <w:name w:val="footer"/>
    <w:basedOn w:val="Normal"/>
    <w:link w:val="FooterChar"/>
    <w:uiPriority w:val="99"/>
    <w:unhideWhenUsed/>
    <w:rsid w:val="0003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EC"/>
  </w:style>
  <w:style w:type="paragraph" w:styleId="BodyText">
    <w:name w:val="Body Text"/>
    <w:basedOn w:val="Normal"/>
    <w:link w:val="BodyTextChar"/>
    <w:uiPriority w:val="1"/>
    <w:qFormat/>
    <w:rsid w:val="00F80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57"/>
      <w:szCs w:val="57"/>
      <w:lang w:val="sv-S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8010E"/>
    <w:rPr>
      <w:rFonts w:ascii="Times New Roman" w:eastAsia="Times New Roman" w:hAnsi="Times New Roman" w:cs="Times New Roman"/>
      <w:kern w:val="0"/>
      <w:sz w:val="57"/>
      <w:szCs w:val="57"/>
      <w:lang w:val="sv-SE"/>
      <w14:ligatures w14:val="none"/>
    </w:rPr>
  </w:style>
  <w:style w:type="character" w:customStyle="1" w:styleId="apple-converted-space">
    <w:name w:val="apple-converted-space"/>
    <w:basedOn w:val="DefaultParagraphFont"/>
    <w:rsid w:val="00161ADD"/>
  </w:style>
  <w:style w:type="character" w:customStyle="1" w:styleId="outlook-search-highlight">
    <w:name w:val="outlook-search-highlight"/>
    <w:basedOn w:val="DefaultParagraphFont"/>
    <w:rsid w:val="00161ADD"/>
  </w:style>
  <w:style w:type="character" w:customStyle="1" w:styleId="grame">
    <w:name w:val="grame"/>
    <w:basedOn w:val="DefaultParagraphFont"/>
    <w:rsid w:val="00161ADD"/>
  </w:style>
  <w:style w:type="character" w:customStyle="1" w:styleId="spelle">
    <w:name w:val="spelle"/>
    <w:basedOn w:val="DefaultParagraphFont"/>
    <w:rsid w:val="00161ADD"/>
  </w:style>
  <w:style w:type="table" w:styleId="TableGrid">
    <w:name w:val="Table Grid"/>
    <w:basedOn w:val="TableNormal"/>
    <w:uiPriority w:val="39"/>
    <w:rsid w:val="0016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Mohl, Jaime</dc:creator>
  <cp:keywords/>
  <dc:description/>
  <cp:lastModifiedBy>Salomonsson, Sally</cp:lastModifiedBy>
  <cp:revision>3</cp:revision>
  <dcterms:created xsi:type="dcterms:W3CDTF">2025-04-29T18:02:00Z</dcterms:created>
  <dcterms:modified xsi:type="dcterms:W3CDTF">2025-04-29T18:04:00Z</dcterms:modified>
</cp:coreProperties>
</file>